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0D" w:rsidRDefault="0001120D" w:rsidP="0001120D">
      <w:pPr>
        <w:rPr>
          <w:b/>
          <w:sz w:val="32"/>
          <w:szCs w:val="32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202.5pt;height:83.25pt;visibility:visible">
            <v:imagedata r:id="rId4" o:title=""/>
          </v:shape>
        </w:pict>
      </w:r>
    </w:p>
    <w:p w:rsidR="009E3EAC" w:rsidRPr="00B01B77" w:rsidRDefault="009E3EAC" w:rsidP="00F808F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B01B77">
        <w:rPr>
          <w:rFonts w:ascii="Segoe UI" w:hAnsi="Segoe UI" w:cs="Segoe UI"/>
          <w:b/>
          <w:sz w:val="32"/>
          <w:szCs w:val="32"/>
        </w:rPr>
        <w:t>За нецелевое использование земельных участков жители Камчатского края привлекаются к административной ответственности</w:t>
      </w:r>
    </w:p>
    <w:p w:rsidR="009E3EAC" w:rsidRPr="00F808FF" w:rsidRDefault="009E3EAC" w:rsidP="00244A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20"/>
          <w:szCs w:val="20"/>
        </w:rPr>
      </w:pPr>
    </w:p>
    <w:p w:rsidR="009E3EAC" w:rsidRPr="00F2052B" w:rsidRDefault="009E3EAC" w:rsidP="00244A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E3EAC" w:rsidRPr="00DD7381" w:rsidRDefault="009E3EAC" w:rsidP="00AE232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      </w:t>
      </w:r>
      <w:r w:rsidR="00EA168C" w:rsidRPr="00DD7381">
        <w:rPr>
          <w:rFonts w:ascii="Segoe UI" w:hAnsi="Segoe UI" w:cs="Segoe UI"/>
          <w:color w:val="000000"/>
          <w:sz w:val="24"/>
          <w:szCs w:val="24"/>
        </w:rPr>
        <w:t>По</w:t>
      </w:r>
      <w:r w:rsidR="00EA168C">
        <w:rPr>
          <w:rFonts w:ascii="Segoe UI" w:hAnsi="Segoe UI" w:cs="Segoe UI"/>
          <w:color w:val="000000"/>
          <w:sz w:val="24"/>
          <w:szCs w:val="24"/>
        </w:rPr>
        <w:t xml:space="preserve"> фактам</w:t>
      </w:r>
      <w:r w:rsidRPr="00DD7381">
        <w:rPr>
          <w:rFonts w:ascii="Segoe UI" w:hAnsi="Segoe UI" w:cs="Segoe UI"/>
          <w:color w:val="000000"/>
          <w:sz w:val="24"/>
          <w:szCs w:val="24"/>
        </w:rPr>
        <w:t xml:space="preserve"> использования земельных участков не по целевому назначению в соответствии с их принадлежностью к той или иной категории земель и разрешенным использованием государственными земельными инспекторами Управления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DD7381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DD7381">
        <w:rPr>
          <w:rFonts w:ascii="Segoe UI" w:hAnsi="Segoe UI" w:cs="Segoe UI"/>
          <w:color w:val="000000"/>
          <w:sz w:val="24"/>
          <w:szCs w:val="24"/>
        </w:rPr>
        <w:t xml:space="preserve"> по Камчатскому краю в 2019</w:t>
      </w:r>
      <w:r>
        <w:rPr>
          <w:rFonts w:ascii="Segoe UI" w:hAnsi="Segoe UI" w:cs="Segoe UI"/>
          <w:color w:val="000000"/>
          <w:sz w:val="24"/>
          <w:szCs w:val="24"/>
        </w:rPr>
        <w:t>г.</w:t>
      </w:r>
      <w:r w:rsidRPr="00DD7381">
        <w:rPr>
          <w:rFonts w:ascii="Segoe UI" w:hAnsi="Segoe UI" w:cs="Segoe UI"/>
          <w:color w:val="000000"/>
          <w:sz w:val="24"/>
          <w:szCs w:val="24"/>
        </w:rPr>
        <w:t xml:space="preserve"> возбуждены дела об административных правонарушениях </w:t>
      </w:r>
      <w:r>
        <w:rPr>
          <w:rFonts w:ascii="Segoe UI" w:hAnsi="Segoe UI" w:cs="Segoe UI"/>
          <w:color w:val="000000"/>
          <w:sz w:val="24"/>
          <w:szCs w:val="24"/>
        </w:rPr>
        <w:t>в отношении пяти жителей Камчатского края</w:t>
      </w:r>
      <w:r w:rsidRPr="00F808FF">
        <w:rPr>
          <w:rFonts w:ascii="Segoe UI" w:hAnsi="Segoe UI" w:cs="Segoe UI"/>
          <w:color w:val="000000"/>
          <w:sz w:val="24"/>
          <w:szCs w:val="24"/>
        </w:rPr>
        <w:t>.</w:t>
      </w:r>
    </w:p>
    <w:p w:rsidR="009E3EAC" w:rsidRPr="00DD7381" w:rsidRDefault="009E3EAC" w:rsidP="00AE232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      </w:t>
      </w:r>
      <w:r w:rsidRPr="00DD7381">
        <w:rPr>
          <w:rFonts w:ascii="Segoe UI" w:hAnsi="Segoe UI" w:cs="Segoe UI"/>
          <w:color w:val="000000"/>
          <w:sz w:val="24"/>
          <w:szCs w:val="24"/>
        </w:rPr>
        <w:t>За данные правонарушения предусмотрена административная ответственность по части 1 статьи 8.8 Кодекса Российской Федерации об ад</w:t>
      </w:r>
      <w:r>
        <w:rPr>
          <w:rFonts w:ascii="Segoe UI" w:hAnsi="Segoe UI" w:cs="Segoe UI"/>
          <w:color w:val="000000"/>
          <w:sz w:val="24"/>
          <w:szCs w:val="24"/>
        </w:rPr>
        <w:t>министративных правонарушениях. Р</w:t>
      </w:r>
      <w:r w:rsidRPr="00DD7381">
        <w:rPr>
          <w:rFonts w:ascii="Segoe UI" w:hAnsi="Segoe UI" w:cs="Segoe UI"/>
          <w:color w:val="000000"/>
          <w:sz w:val="24"/>
          <w:szCs w:val="24"/>
        </w:rPr>
        <w:t xml:space="preserve">азмер административного штрафа для граждан составит от десяти до двадцати тысяч рублей; для должностных лиц - от двадцати до пятидесяти тысяч рублей; для юридических лиц - от ста до двухсот тысяч рублей. </w:t>
      </w:r>
    </w:p>
    <w:p w:rsidR="009E3EAC" w:rsidRPr="00DD7381" w:rsidRDefault="009E3EAC" w:rsidP="00AE232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      </w:t>
      </w:r>
      <w:r w:rsidRPr="00DD7381">
        <w:rPr>
          <w:rFonts w:ascii="Segoe UI" w:hAnsi="Segoe UI" w:cs="Segoe UI"/>
          <w:color w:val="000000"/>
          <w:sz w:val="24"/>
          <w:szCs w:val="24"/>
        </w:rPr>
        <w:t>Общая сумма назначенных в 20</w:t>
      </w:r>
      <w:r>
        <w:rPr>
          <w:rFonts w:ascii="Segoe UI" w:hAnsi="Segoe UI" w:cs="Segoe UI"/>
          <w:color w:val="000000"/>
          <w:sz w:val="24"/>
          <w:szCs w:val="24"/>
        </w:rPr>
        <w:t>19 году штрафов за использование</w:t>
      </w:r>
      <w:r w:rsidRPr="00DD7381">
        <w:rPr>
          <w:rFonts w:ascii="Segoe UI" w:hAnsi="Segoe UI" w:cs="Segoe UI"/>
          <w:color w:val="000000"/>
          <w:sz w:val="24"/>
          <w:szCs w:val="24"/>
        </w:rPr>
        <w:t xml:space="preserve"> земельных участков на территории Камчатского края не по целевому назначению составила </w:t>
      </w:r>
      <w:r w:rsidRPr="00F808FF">
        <w:rPr>
          <w:rFonts w:ascii="Segoe UI" w:hAnsi="Segoe UI" w:cs="Segoe UI"/>
          <w:color w:val="000000"/>
          <w:sz w:val="24"/>
          <w:szCs w:val="24"/>
        </w:rPr>
        <w:t>52 тысячи рублей</w:t>
      </w:r>
      <w:r w:rsidRPr="00DD7381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9E3EAC" w:rsidRPr="00671603" w:rsidRDefault="009E3EAC" w:rsidP="004B316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      </w:t>
      </w:r>
      <w:r w:rsidRPr="00DD7381">
        <w:rPr>
          <w:rFonts w:ascii="Segoe UI" w:hAnsi="Segoe UI" w:cs="Segoe UI"/>
          <w:color w:val="000000"/>
          <w:sz w:val="24"/>
          <w:szCs w:val="24"/>
        </w:rPr>
        <w:t>«Многие собственники земельных участков ошибочно полагают, что имеют право использовать его по своему усмотрению. На самом деле это не так, нормы земельного законодательства обязывают использовать земельный участок по целевому назначению</w:t>
      </w:r>
      <w:r>
        <w:rPr>
          <w:rFonts w:ascii="Segoe UI" w:hAnsi="Segoe UI" w:cs="Segoe UI"/>
          <w:color w:val="000000"/>
          <w:sz w:val="24"/>
          <w:szCs w:val="24"/>
        </w:rPr>
        <w:t>. И</w:t>
      </w:r>
      <w:r w:rsidRPr="00DD7381">
        <w:rPr>
          <w:rFonts w:ascii="Segoe UI" w:hAnsi="Segoe UI" w:cs="Segoe UI"/>
          <w:color w:val="000000"/>
          <w:sz w:val="24"/>
          <w:szCs w:val="24"/>
        </w:rPr>
        <w:t xml:space="preserve">сключения в виде возможности использования </w:t>
      </w:r>
      <w:r>
        <w:rPr>
          <w:rFonts w:ascii="Segoe UI" w:hAnsi="Segoe UI" w:cs="Segoe UI"/>
          <w:color w:val="000000"/>
          <w:sz w:val="24"/>
          <w:szCs w:val="24"/>
        </w:rPr>
        <w:t xml:space="preserve">даже </w:t>
      </w:r>
      <w:r w:rsidRPr="00DD7381">
        <w:rPr>
          <w:rFonts w:ascii="Segoe UI" w:hAnsi="Segoe UI" w:cs="Segoe UI"/>
          <w:color w:val="000000"/>
          <w:sz w:val="24"/>
          <w:szCs w:val="24"/>
        </w:rPr>
        <w:t>части земельного участка не по целевому назначению отсутствуют. Так, например, в октябре 2019 Верховный суд Российской Федерации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DD7381">
        <w:rPr>
          <w:rFonts w:ascii="Segoe UI" w:hAnsi="Segoe UI" w:cs="Segoe UI"/>
          <w:color w:val="000000"/>
          <w:sz w:val="24"/>
          <w:szCs w:val="24"/>
        </w:rPr>
        <w:t xml:space="preserve"> рассматривая спор о частичном использовании предприятием здания, расположенного на земельном участке с видом разрешенного использования «для сел</w:t>
      </w:r>
      <w:r>
        <w:rPr>
          <w:rFonts w:ascii="Segoe UI" w:hAnsi="Segoe UI" w:cs="Segoe UI"/>
          <w:color w:val="000000"/>
          <w:sz w:val="24"/>
          <w:szCs w:val="24"/>
        </w:rPr>
        <w:t>ьскохозяйственного использования</w:t>
      </w:r>
      <w:r w:rsidRPr="00DD7381">
        <w:rPr>
          <w:rFonts w:ascii="Segoe UI" w:hAnsi="Segoe UI" w:cs="Segoe UI"/>
          <w:color w:val="000000"/>
          <w:sz w:val="24"/>
          <w:szCs w:val="24"/>
        </w:rPr>
        <w:t>» указал, что п</w:t>
      </w:r>
      <w:r w:rsidRPr="00DD7381">
        <w:rPr>
          <w:rFonts w:ascii="Segoe UI" w:hAnsi="Segoe UI" w:cs="Segoe UI"/>
          <w:sz w:val="24"/>
          <w:szCs w:val="24"/>
        </w:rPr>
        <w:t xml:space="preserve">ередача в аренду части помещений в здании под объекты торговли повлекла за собой изменение функционального назначения здания, поскольку эти помещения предназначены для использования в </w:t>
      </w:r>
      <w:r w:rsidRPr="00671603">
        <w:rPr>
          <w:rFonts w:ascii="Segoe UI" w:hAnsi="Segoe UI" w:cs="Segoe UI"/>
          <w:sz w:val="24"/>
          <w:szCs w:val="24"/>
        </w:rPr>
        <w:t xml:space="preserve">сельскохозяйственной деятельности, а не для сдачи их в аренду в целях осуществления иной деятельности. </w:t>
      </w:r>
      <w:r>
        <w:rPr>
          <w:rFonts w:ascii="Segoe UI" w:hAnsi="Segoe UI" w:cs="Segoe UI"/>
          <w:sz w:val="24"/>
          <w:szCs w:val="24"/>
        </w:rPr>
        <w:t>И</w:t>
      </w:r>
      <w:r w:rsidRPr="00671603">
        <w:rPr>
          <w:rFonts w:ascii="Segoe UI" w:hAnsi="Segoe UI" w:cs="Segoe UI"/>
          <w:sz w:val="24"/>
          <w:szCs w:val="24"/>
        </w:rPr>
        <w:t xml:space="preserve">спользование здания в целях осуществления иной деятельности привело к использованию земельного участка, на котором расположено здание, не в соответствии с видом разрешенного использования этого участка», </w:t>
      </w:r>
      <w:r>
        <w:rPr>
          <w:rFonts w:ascii="Segoe UI" w:hAnsi="Segoe UI" w:cs="Segoe UI"/>
          <w:sz w:val="24"/>
          <w:szCs w:val="24"/>
        </w:rPr>
        <w:t>-</w:t>
      </w:r>
      <w:r w:rsidRPr="00671603">
        <w:rPr>
          <w:rFonts w:ascii="Segoe UI" w:hAnsi="Segoe UI" w:cs="Segoe UI"/>
          <w:sz w:val="24"/>
          <w:szCs w:val="24"/>
        </w:rPr>
        <w:t xml:space="preserve">отметил </w:t>
      </w:r>
      <w:r w:rsidRPr="00671603">
        <w:rPr>
          <w:rFonts w:ascii="Segoe UI" w:hAnsi="Segoe UI" w:cs="Segoe UI"/>
          <w:sz w:val="24"/>
          <w:szCs w:val="24"/>
          <w:lang w:eastAsia="ru-RU"/>
        </w:rPr>
        <w:t xml:space="preserve">Юрий Маслов, руководитель Управления </w:t>
      </w:r>
      <w:proofErr w:type="spellStart"/>
      <w:r w:rsidRPr="00671603"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 w:rsidRPr="00671603">
        <w:rPr>
          <w:rFonts w:ascii="Segoe UI" w:hAnsi="Segoe UI" w:cs="Segoe UI"/>
          <w:sz w:val="24"/>
          <w:szCs w:val="24"/>
          <w:lang w:eastAsia="ru-RU"/>
        </w:rPr>
        <w:t xml:space="preserve"> по Камчатскому краю.</w:t>
      </w:r>
    </w:p>
    <w:p w:rsidR="009E3EAC" w:rsidRPr="005245A0" w:rsidRDefault="009E3EAC" w:rsidP="0072317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      </w:t>
      </w:r>
      <w:r w:rsidRPr="00DD7381">
        <w:rPr>
          <w:rFonts w:ascii="Segoe UI" w:hAnsi="Segoe UI" w:cs="Segoe UI"/>
          <w:color w:val="000000"/>
          <w:sz w:val="24"/>
          <w:szCs w:val="24"/>
        </w:rPr>
        <w:t>Управлени</w:t>
      </w:r>
      <w:r>
        <w:rPr>
          <w:rFonts w:ascii="Segoe UI" w:hAnsi="Segoe UI" w:cs="Segoe UI"/>
          <w:color w:val="000000"/>
          <w:sz w:val="24"/>
          <w:szCs w:val="24"/>
        </w:rPr>
        <w:t xml:space="preserve">е </w:t>
      </w:r>
      <w:proofErr w:type="spellStart"/>
      <w:r w:rsidRPr="00DD7381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DD7381">
        <w:rPr>
          <w:rFonts w:ascii="Segoe UI" w:hAnsi="Segoe UI" w:cs="Segoe UI"/>
          <w:color w:val="000000"/>
          <w:sz w:val="24"/>
          <w:szCs w:val="24"/>
        </w:rPr>
        <w:t xml:space="preserve"> по Камчатскому краю</w:t>
      </w:r>
      <w:r>
        <w:rPr>
          <w:rFonts w:ascii="Segoe UI" w:hAnsi="Segoe UI" w:cs="Segoe UI"/>
          <w:color w:val="000000"/>
          <w:sz w:val="24"/>
          <w:szCs w:val="24"/>
        </w:rPr>
        <w:t xml:space="preserve"> напоминает</w:t>
      </w:r>
      <w:r w:rsidRPr="00671603">
        <w:rPr>
          <w:rFonts w:ascii="Segoe UI" w:hAnsi="Segoe UI" w:cs="Segoe UI"/>
          <w:sz w:val="24"/>
          <w:szCs w:val="24"/>
        </w:rPr>
        <w:t xml:space="preserve">, что в некоторых случаях </w:t>
      </w:r>
      <w:r>
        <w:rPr>
          <w:rFonts w:ascii="Segoe UI" w:hAnsi="Segoe UI" w:cs="Segoe UI"/>
          <w:sz w:val="24"/>
          <w:szCs w:val="24"/>
        </w:rPr>
        <w:t xml:space="preserve">правообладатель </w:t>
      </w:r>
      <w:r w:rsidRPr="00671603">
        <w:rPr>
          <w:rFonts w:ascii="Segoe UI" w:hAnsi="Segoe UI" w:cs="Segoe UI"/>
          <w:sz w:val="24"/>
          <w:szCs w:val="24"/>
        </w:rPr>
        <w:t xml:space="preserve">земельного участка может </w:t>
      </w:r>
      <w:r w:rsidRPr="00671603">
        <w:rPr>
          <w:rFonts w:ascii="Segoe UI" w:hAnsi="Segoe UI" w:cs="Segoe UI"/>
          <w:color w:val="000000"/>
          <w:sz w:val="24"/>
          <w:szCs w:val="24"/>
        </w:rPr>
        <w:t xml:space="preserve">изменить вид разрешенного использования. Возможные виды разрешенного использования земельных участков определены правилами землепользования и застройки в территориальной зоне </w:t>
      </w:r>
      <w:r w:rsidRPr="00671603">
        <w:rPr>
          <w:rFonts w:ascii="Segoe UI" w:hAnsi="Segoe UI" w:cs="Segoe UI"/>
          <w:color w:val="000000"/>
          <w:sz w:val="24"/>
          <w:szCs w:val="24"/>
        </w:rPr>
        <w:lastRenderedPageBreak/>
        <w:t xml:space="preserve">(ПЗЗ), в которой расположен земельный участок.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>Для того</w:t>
      </w:r>
      <w:r>
        <w:rPr>
          <w:rFonts w:ascii="Segoe UI" w:hAnsi="Segoe UI" w:cs="Segoe UI"/>
          <w:bCs/>
          <w:color w:val="000000"/>
          <w:sz w:val="24"/>
          <w:szCs w:val="24"/>
        </w:rPr>
        <w:t>,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 чтобы </w:t>
      </w:r>
      <w:proofErr w:type="gramStart"/>
      <w:r w:rsidRPr="00671603">
        <w:rPr>
          <w:rFonts w:ascii="Segoe UI" w:hAnsi="Segoe UI" w:cs="Segoe UI"/>
          <w:bCs/>
          <w:color w:val="000000"/>
          <w:sz w:val="24"/>
          <w:szCs w:val="24"/>
        </w:rPr>
        <w:t>уточнить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,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 какой</w:t>
      </w:r>
      <w:proofErr w:type="gramEnd"/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 вид использования предусмотрен в ПЗЗ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,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 можно обратиться в орган местного самоуправления.</w:t>
      </w:r>
    </w:p>
    <w:p w:rsidR="009E3EAC" w:rsidRPr="00671603" w:rsidRDefault="009E3EAC" w:rsidP="004D6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Cs/>
          <w:color w:val="000000"/>
          <w:sz w:val="24"/>
          <w:szCs w:val="24"/>
        </w:rPr>
        <w:t xml:space="preserve">  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Выбрать вид разрешенного использования, который не </w:t>
      </w:r>
      <w:proofErr w:type="gramStart"/>
      <w:r w:rsidRPr="00671603">
        <w:rPr>
          <w:rFonts w:ascii="Segoe UI" w:hAnsi="Segoe UI" w:cs="Segoe UI"/>
          <w:bCs/>
          <w:color w:val="000000"/>
          <w:sz w:val="24"/>
          <w:szCs w:val="24"/>
        </w:rPr>
        <w:t>предусмотрен  ПЗЗ</w:t>
      </w:r>
      <w:proofErr w:type="gramEnd"/>
      <w:r>
        <w:rPr>
          <w:rFonts w:ascii="Segoe UI" w:hAnsi="Segoe UI" w:cs="Segoe UI"/>
          <w:bCs/>
          <w:color w:val="000000"/>
          <w:sz w:val="24"/>
          <w:szCs w:val="24"/>
        </w:rPr>
        <w:t xml:space="preserve">,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>невозможно.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>Кроме того, вид разрешенного использования земельного участка не может быть изменен в случае, если для запрашиваемого вида разрешенного использовани</w:t>
      </w:r>
      <w:r>
        <w:rPr>
          <w:rFonts w:ascii="Segoe UI" w:hAnsi="Segoe UI" w:cs="Segoe UI"/>
          <w:bCs/>
          <w:color w:val="000000"/>
          <w:sz w:val="24"/>
          <w:szCs w:val="24"/>
        </w:rPr>
        <w:t>я градостроительным регламентом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 ПЗЗ установлены предельные (минимальные и (или) максимальные) размеры и предельные параметры, не позволяющие осуществлять деятельность в соответствии с таким видом разрешенного использования.</w:t>
      </w:r>
    </w:p>
    <w:p w:rsidR="009E3EAC" w:rsidRPr="00671603" w:rsidRDefault="009E3EAC" w:rsidP="00DD738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        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 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 В пределах определенной территориальной зоны устанавливаются допустимые виды разрешенного использования земельных участков и объектов капитального строительства, которые подразделяются на основные, условно разрешенные и вспомогательные. </w:t>
      </w:r>
    </w:p>
    <w:p w:rsidR="009E3EAC" w:rsidRPr="00671603" w:rsidRDefault="009E3EAC" w:rsidP="004D6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  </w:t>
      </w:r>
      <w:r w:rsidRPr="00671603">
        <w:rPr>
          <w:rFonts w:ascii="Segoe UI" w:hAnsi="Segoe UI" w:cs="Segoe UI"/>
          <w:b/>
          <w:bCs/>
          <w:color w:val="000000"/>
          <w:sz w:val="24"/>
          <w:szCs w:val="24"/>
        </w:rPr>
        <w:t>Основной и вспомогательный вид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разрешенного использования земельного участка могут быть выбраны правообладателем самостоятельно в соответствии с </w:t>
      </w:r>
      <w:r>
        <w:rPr>
          <w:rFonts w:ascii="Segoe UI" w:hAnsi="Segoe UI" w:cs="Segoe UI"/>
          <w:bCs/>
          <w:color w:val="000000"/>
          <w:sz w:val="24"/>
          <w:szCs w:val="24"/>
        </w:rPr>
        <w:t>ПЗЗ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.  Дополнительных решений и согласований на это не требуется. </w:t>
      </w:r>
      <w:r>
        <w:rPr>
          <w:rFonts w:ascii="Segoe UI" w:hAnsi="Segoe UI" w:cs="Segoe UI"/>
          <w:bCs/>
          <w:color w:val="000000"/>
          <w:sz w:val="24"/>
          <w:szCs w:val="24"/>
        </w:rPr>
        <w:t>С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ледует обратить внимание, что арендатор по договору аренды, заключенному по </w:t>
      </w:r>
      <w:r w:rsidRPr="005245A0">
        <w:rPr>
          <w:rFonts w:ascii="Segoe UI" w:hAnsi="Segoe UI" w:cs="Segoe UI"/>
          <w:bCs/>
          <w:sz w:val="24"/>
          <w:szCs w:val="24"/>
        </w:rPr>
        <w:t>результатам аукциона,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5245A0">
        <w:rPr>
          <w:rFonts w:ascii="Segoe UI" w:hAnsi="Segoe UI" w:cs="Segoe UI"/>
          <w:bCs/>
          <w:sz w:val="24"/>
          <w:szCs w:val="24"/>
        </w:rPr>
        <w:t>н</w:t>
      </w:r>
      <w:r w:rsidRPr="00671603">
        <w:rPr>
          <w:rFonts w:ascii="Segoe UI" w:hAnsi="Segoe UI" w:cs="Segoe UI"/>
          <w:bCs/>
          <w:sz w:val="24"/>
          <w:szCs w:val="24"/>
        </w:rPr>
        <w:t>е вправе изменять вид разрешенного использования земельного участка</w:t>
      </w:r>
      <w:r w:rsidRPr="00671603">
        <w:rPr>
          <w:rFonts w:ascii="Segoe UI" w:hAnsi="Segoe UI" w:cs="Segoe UI"/>
          <w:b/>
          <w:bCs/>
          <w:sz w:val="24"/>
          <w:szCs w:val="24"/>
        </w:rPr>
        <w:t>.</w:t>
      </w:r>
    </w:p>
    <w:p w:rsidR="009E3EAC" w:rsidRPr="00671603" w:rsidRDefault="009E3EAC" w:rsidP="004D6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bCs/>
          <w:sz w:val="24"/>
          <w:szCs w:val="24"/>
        </w:rPr>
      </w:pP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 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>Сведения о выбранном виде разрешенного использования вносятся в Единый государственный р</w:t>
      </w:r>
      <w:r>
        <w:rPr>
          <w:rFonts w:ascii="Segoe UI" w:hAnsi="Segoe UI" w:cs="Segoe UI"/>
          <w:bCs/>
          <w:color w:val="000000"/>
          <w:sz w:val="24"/>
          <w:szCs w:val="24"/>
        </w:rPr>
        <w:t>еестр недвижимости (далее ЕГРН). Д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>ля этого правообладателю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 необходимо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обратиться в </w:t>
      </w:r>
      <w:proofErr w:type="spellStart"/>
      <w:r w:rsidRPr="00671603">
        <w:rPr>
          <w:rFonts w:ascii="Segoe UI" w:hAnsi="Segoe UI" w:cs="Segoe UI"/>
          <w:bCs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bCs/>
          <w:color w:val="000000"/>
          <w:sz w:val="24"/>
          <w:szCs w:val="24"/>
        </w:rPr>
        <w:t xml:space="preserve">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>через офисы МФЦ с соответствующим заявлением.</w:t>
      </w:r>
    </w:p>
    <w:p w:rsidR="009E3EAC" w:rsidRPr="00671603" w:rsidRDefault="009E3EAC" w:rsidP="00DD738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         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Вместе с тем, </w:t>
      </w:r>
      <w:r w:rsidRPr="00671603">
        <w:rPr>
          <w:rFonts w:ascii="Segoe UI" w:hAnsi="Segoe UI" w:cs="Segoe UI"/>
          <w:b/>
          <w:bCs/>
          <w:color w:val="000000"/>
          <w:sz w:val="24"/>
          <w:szCs w:val="24"/>
        </w:rPr>
        <w:t>с установлением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Pr="00671603">
        <w:rPr>
          <w:rFonts w:ascii="Segoe UI" w:hAnsi="Segoe UI" w:cs="Segoe UI"/>
          <w:b/>
          <w:bCs/>
          <w:color w:val="000000"/>
          <w:sz w:val="24"/>
          <w:szCs w:val="24"/>
        </w:rPr>
        <w:t>условно разрешенного вида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 использования не все так просто. В данном случае необходимо получить разрешение на изменение разрешенного использования. </w:t>
      </w:r>
    </w:p>
    <w:p w:rsidR="009E3EAC" w:rsidRPr="00671603" w:rsidRDefault="009E3EAC" w:rsidP="00DD738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trike/>
          <w:color w:val="000000"/>
          <w:sz w:val="24"/>
          <w:szCs w:val="24"/>
        </w:rPr>
      </w:pPr>
      <w:r w:rsidRPr="00671603">
        <w:rPr>
          <w:rFonts w:ascii="Segoe UI" w:hAnsi="Segoe UI" w:cs="Segoe UI"/>
          <w:bCs/>
          <w:color w:val="000000"/>
          <w:sz w:val="24"/>
          <w:szCs w:val="24"/>
        </w:rPr>
        <w:t xml:space="preserve">         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 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>Заявление о предоставлении разрешения на изменение разрешенного использования подается в орган местного самоуправления.    Проект решения о предоставлении разрешения на условно разрешенный вид использования рассматривается на публичных слушаниях (общественных обсуждениях). Решение об изменении вида разрешенного использования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>будет являться основанием для внесения изменений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 </w:t>
      </w:r>
      <w:r w:rsidRPr="00671603">
        <w:rPr>
          <w:rFonts w:ascii="Segoe UI" w:hAnsi="Segoe UI" w:cs="Segoe UI"/>
          <w:bCs/>
          <w:color w:val="000000"/>
          <w:sz w:val="24"/>
          <w:szCs w:val="24"/>
        </w:rPr>
        <w:t>в сведения ЕГРН.</w:t>
      </w:r>
    </w:p>
    <w:p w:rsidR="009E3EAC" w:rsidRPr="00671603" w:rsidRDefault="009E3EAC" w:rsidP="00DD738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</w:t>
      </w:r>
      <w:r w:rsidRPr="00671603">
        <w:rPr>
          <w:rFonts w:ascii="Segoe UI" w:hAnsi="Segoe UI" w:cs="Segoe UI"/>
          <w:sz w:val="24"/>
          <w:szCs w:val="24"/>
        </w:rPr>
        <w:t>Важно знать, что изменение вида разрешенного использования земельного участка может повлечь изменение его кадастровой стоимости, а также величины земельного налога.</w:t>
      </w:r>
    </w:p>
    <w:p w:rsidR="009E3EAC" w:rsidRPr="00EA168C" w:rsidRDefault="009E3EAC" w:rsidP="005245A0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671603">
        <w:rPr>
          <w:rFonts w:ascii="Segoe UI" w:hAnsi="Segoe UI" w:cs="Segoe UI"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 xml:space="preserve">         </w:t>
      </w:r>
      <w:r w:rsidRPr="00671603">
        <w:rPr>
          <w:rFonts w:ascii="Segoe UI" w:hAnsi="Segoe UI" w:cs="Segoe UI"/>
          <w:sz w:val="24"/>
          <w:szCs w:val="24"/>
        </w:rPr>
        <w:t>Для того чтобы узнать</w:t>
      </w:r>
      <w:r>
        <w:rPr>
          <w:rFonts w:ascii="Segoe UI" w:hAnsi="Segoe UI" w:cs="Segoe UI"/>
          <w:sz w:val="24"/>
          <w:szCs w:val="24"/>
        </w:rPr>
        <w:t>,</w:t>
      </w:r>
      <w:r w:rsidRPr="00671603">
        <w:rPr>
          <w:rFonts w:ascii="Segoe UI" w:hAnsi="Segoe UI" w:cs="Segoe UI"/>
          <w:sz w:val="24"/>
          <w:szCs w:val="24"/>
        </w:rPr>
        <w:t xml:space="preserve"> внесены ли изменения в ЕГРН, необходимо обратиться в МФЦ за предоставлением информации в виде выписки из ЕГРН об основных характери</w:t>
      </w:r>
      <w:r>
        <w:rPr>
          <w:rFonts w:ascii="Segoe UI" w:hAnsi="Segoe UI" w:cs="Segoe UI"/>
          <w:sz w:val="24"/>
          <w:szCs w:val="24"/>
        </w:rPr>
        <w:t>стиках объекта недвижимости, или</w:t>
      </w:r>
      <w:r w:rsidRPr="00671603">
        <w:rPr>
          <w:rFonts w:ascii="Segoe UI" w:hAnsi="Segoe UI" w:cs="Segoe UI"/>
          <w:sz w:val="24"/>
          <w:szCs w:val="24"/>
        </w:rPr>
        <w:t xml:space="preserve"> запросить указанную выписку посредством электронных сервисов </w:t>
      </w:r>
      <w:proofErr w:type="spellStart"/>
      <w:r w:rsidRPr="0067160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71603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Также общедоступную информацию можно посмотреть </w:t>
      </w:r>
      <w:r>
        <w:rPr>
          <w:rFonts w:ascii="Segoe UI" w:hAnsi="Segoe UI" w:cs="Segoe UI"/>
        </w:rPr>
        <w:t xml:space="preserve">на </w:t>
      </w:r>
      <w:r>
        <w:rPr>
          <w:rFonts w:ascii="Segoe UI" w:hAnsi="Segoe UI" w:cs="Segoe UI"/>
          <w:color w:val="000000"/>
        </w:rPr>
        <w:t xml:space="preserve">сайте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hyperlink r:id="rId5" w:history="1">
        <w:r>
          <w:rPr>
            <w:rStyle w:val="-"/>
            <w:rFonts w:ascii="Segoe UI" w:hAnsi="Segoe UI" w:cs="Segoe UI"/>
          </w:rPr>
          <w:t>www.rosreestr.ru</w:t>
        </w:r>
      </w:hyperlink>
      <w:r>
        <w:rPr>
          <w:rFonts w:ascii="Segoe UI" w:hAnsi="Segoe UI" w:cs="Segoe UI"/>
          <w:color w:val="000000"/>
        </w:rPr>
        <w:t xml:space="preserve">) </w:t>
      </w:r>
      <w:r>
        <w:rPr>
          <w:rFonts w:ascii="Segoe UI" w:hAnsi="Segoe UI" w:cs="Segoe UI"/>
          <w:sz w:val="24"/>
          <w:szCs w:val="24"/>
        </w:rPr>
        <w:t>с помощью сервисов «Публичная кадастровая карта»; «Личный кабинет»; «Справочная информация в режиме «</w:t>
      </w:r>
      <w:r>
        <w:rPr>
          <w:rFonts w:ascii="Segoe UI" w:hAnsi="Segoe UI" w:cs="Segoe UI"/>
          <w:sz w:val="24"/>
          <w:szCs w:val="24"/>
          <w:lang w:val="en-US"/>
        </w:rPr>
        <w:t>online</w:t>
      </w:r>
      <w:r>
        <w:rPr>
          <w:rFonts w:ascii="Segoe UI" w:hAnsi="Segoe UI" w:cs="Segoe UI"/>
          <w:sz w:val="24"/>
          <w:szCs w:val="24"/>
        </w:rPr>
        <w:t>»</w:t>
      </w:r>
      <w:r w:rsidR="00EA168C">
        <w:rPr>
          <w:rFonts w:ascii="Segoe UI" w:hAnsi="Segoe UI" w:cs="Segoe UI"/>
          <w:sz w:val="24"/>
          <w:szCs w:val="24"/>
        </w:rPr>
        <w:t xml:space="preserve">. </w:t>
      </w:r>
      <w:r w:rsidRPr="00EA168C">
        <w:rPr>
          <w:rStyle w:val="1"/>
          <w:rFonts w:ascii="Segoe UI" w:hAnsi="Segoe UI" w:cs="Segoe UI"/>
          <w:sz w:val="24"/>
          <w:szCs w:val="24"/>
        </w:rPr>
        <w:t xml:space="preserve">Эти сервисы являются </w:t>
      </w:r>
      <w:r w:rsidRPr="00EA168C">
        <w:rPr>
          <w:rFonts w:ascii="Segoe UI" w:hAnsi="Segoe UI" w:cs="Segoe UI"/>
          <w:color w:val="000000"/>
          <w:sz w:val="24"/>
          <w:szCs w:val="24"/>
        </w:rPr>
        <w:t>бесплатными. Информация отражается в режиме реального времени на дату обновления.</w:t>
      </w:r>
    </w:p>
    <w:sectPr w:rsidR="009E3EAC" w:rsidRPr="00EA168C" w:rsidSect="0001120D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D92"/>
    <w:rsid w:val="0001120D"/>
    <w:rsid w:val="00025AB7"/>
    <w:rsid w:val="000440BA"/>
    <w:rsid w:val="000B3F69"/>
    <w:rsid w:val="00126223"/>
    <w:rsid w:val="0013348D"/>
    <w:rsid w:val="00152E2E"/>
    <w:rsid w:val="001A0D22"/>
    <w:rsid w:val="001A1517"/>
    <w:rsid w:val="001F072A"/>
    <w:rsid w:val="00244A50"/>
    <w:rsid w:val="00297D92"/>
    <w:rsid w:val="002B1563"/>
    <w:rsid w:val="002B62BD"/>
    <w:rsid w:val="002C67D5"/>
    <w:rsid w:val="00300174"/>
    <w:rsid w:val="0034251B"/>
    <w:rsid w:val="003B6DDB"/>
    <w:rsid w:val="004308BF"/>
    <w:rsid w:val="00445D30"/>
    <w:rsid w:val="004A561F"/>
    <w:rsid w:val="004B316B"/>
    <w:rsid w:val="004D6D43"/>
    <w:rsid w:val="0050194C"/>
    <w:rsid w:val="005245A0"/>
    <w:rsid w:val="0053460A"/>
    <w:rsid w:val="0053500A"/>
    <w:rsid w:val="00556C67"/>
    <w:rsid w:val="00595E38"/>
    <w:rsid w:val="00602FA4"/>
    <w:rsid w:val="0066340D"/>
    <w:rsid w:val="00671603"/>
    <w:rsid w:val="00692262"/>
    <w:rsid w:val="006A7FD2"/>
    <w:rsid w:val="006C5F94"/>
    <w:rsid w:val="006F77BA"/>
    <w:rsid w:val="0072317C"/>
    <w:rsid w:val="00727A99"/>
    <w:rsid w:val="007B1BCC"/>
    <w:rsid w:val="00805E6A"/>
    <w:rsid w:val="00833A4D"/>
    <w:rsid w:val="008825FD"/>
    <w:rsid w:val="008948F6"/>
    <w:rsid w:val="008B1AB8"/>
    <w:rsid w:val="008B248C"/>
    <w:rsid w:val="008C3158"/>
    <w:rsid w:val="00946A81"/>
    <w:rsid w:val="00963BD0"/>
    <w:rsid w:val="0098347F"/>
    <w:rsid w:val="009A51B4"/>
    <w:rsid w:val="009B67CF"/>
    <w:rsid w:val="009E3EAC"/>
    <w:rsid w:val="00A2547B"/>
    <w:rsid w:val="00AB2281"/>
    <w:rsid w:val="00AD2184"/>
    <w:rsid w:val="00AE2323"/>
    <w:rsid w:val="00AF45E1"/>
    <w:rsid w:val="00B01B77"/>
    <w:rsid w:val="00B831CE"/>
    <w:rsid w:val="00BA3E14"/>
    <w:rsid w:val="00C54239"/>
    <w:rsid w:val="00C91C4A"/>
    <w:rsid w:val="00CC178F"/>
    <w:rsid w:val="00CD03F7"/>
    <w:rsid w:val="00CD1439"/>
    <w:rsid w:val="00D403B4"/>
    <w:rsid w:val="00D600DB"/>
    <w:rsid w:val="00D727BE"/>
    <w:rsid w:val="00D84EBC"/>
    <w:rsid w:val="00DB4917"/>
    <w:rsid w:val="00DD7381"/>
    <w:rsid w:val="00E01616"/>
    <w:rsid w:val="00E87B6B"/>
    <w:rsid w:val="00E954C1"/>
    <w:rsid w:val="00EA168C"/>
    <w:rsid w:val="00F2052B"/>
    <w:rsid w:val="00F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61FAE"/>
  <w15:docId w15:val="{58D45F1B-6984-40F3-A54B-612ADB6E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1BC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6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63B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B31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Верхний колонтитул1"/>
    <w:uiPriority w:val="99"/>
    <w:rsid w:val="00025AB7"/>
  </w:style>
  <w:style w:type="character" w:customStyle="1" w:styleId="-">
    <w:name w:val="Интернет-ссылка"/>
    <w:uiPriority w:val="99"/>
    <w:rsid w:val="00025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Пользователь Windows</cp:lastModifiedBy>
  <cp:revision>21</cp:revision>
  <cp:lastPrinted>2019-12-26T05:25:00Z</cp:lastPrinted>
  <dcterms:created xsi:type="dcterms:W3CDTF">2019-11-19T23:44:00Z</dcterms:created>
  <dcterms:modified xsi:type="dcterms:W3CDTF">2019-12-26T05:40:00Z</dcterms:modified>
</cp:coreProperties>
</file>