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17520" cy="103060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807465" name="Picture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017519" cy="1030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7.60pt;height:81.1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  <w:r/>
    </w:p>
    <w:p>
      <w:pPr>
        <w:jc w:val="center"/>
        <w:rPr>
          <w:b/>
          <w:bCs/>
          <w:i/>
        </w:rPr>
      </w:pPr>
      <w:r>
        <w:rPr>
          <w:b/>
          <w:bCs/>
          <w:i/>
          <w:iCs/>
        </w:rPr>
        <w:t xml:space="preserve">Об установлении </w:t>
      </w:r>
      <w:r>
        <w:rPr>
          <w:rFonts w:ascii="Segoe UI" w:hAnsi="Segoe UI" w:eastAsia="Segoe UI" w:cs="Segoe UI"/>
          <w:b/>
          <w:bCs/>
          <w:i/>
          <w:iCs/>
          <w:highlight w:val="none"/>
        </w:rPr>
        <w:t xml:space="preserve">охранных зон геодезических пунктов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ind w:left="0" w:right="0" w:firstLine="567"/>
        <w:jc w:val="both"/>
        <w:rPr>
          <w:rFonts w:ascii="Segoe UI" w:hAnsi="Segoe UI" w:cs="Segoe UI"/>
        </w:rPr>
      </w:pPr>
      <w:r>
        <w:rPr>
          <w:rFonts w:ascii="Segoe UI" w:hAnsi="Segoe UI" w:eastAsia="Segoe UI" w:cs="Segoe UI"/>
          <w:highlight w:val="none"/>
        </w:rPr>
        <w:t xml:space="preserve">Управление Росреестра по Камчатскому краю напоминает о том, что важным направлением деятельности Управления является обеспечение сохранности пунктов государственной геодезической сети, расположенных на территории Камчатского края. Одной из актуальных проблем</w:t>
      </w:r>
      <w:r>
        <w:rPr>
          <w:rFonts w:ascii="Segoe UI" w:hAnsi="Segoe UI" w:eastAsia="Segoe UI" w:cs="Segoe UI"/>
          <w:highlight w:val="none"/>
        </w:rPr>
        <w:t xml:space="preserve"> остается уничтожение геодезических пунктов. Одним из способов решения данной проблемы является установление охранных зон геодезических пунктов и внесение сведений о границах этих зон в Единый государственный реестр недвижимости, что позволяет повысить инфо</w:t>
      </w:r>
      <w:r>
        <w:rPr>
          <w:rFonts w:ascii="Segoe UI" w:hAnsi="Segoe UI" w:eastAsia="Segoe UI" w:cs="Segoe UI"/>
          <w:highlight w:val="none"/>
        </w:rPr>
        <w:t xml:space="preserve">рмированность правообладателей объектов недвижимости и землепользователей.</w:t>
      </w:r>
      <w:r>
        <w:rPr>
          <w:rFonts w:ascii="Segoe UI" w:hAnsi="Segoe UI" w:eastAsia="Segoe UI" w:cs="Segoe UI"/>
        </w:rPr>
      </w:r>
    </w:p>
    <w:p>
      <w:pPr>
        <w:ind w:left="0" w:right="0" w:firstLine="567"/>
        <w:jc w:val="both"/>
        <w:rPr>
          <w:rFonts w:ascii="Segoe UI" w:hAnsi="Segoe UI" w:cs="Segoe UI"/>
          <w:bCs/>
          <w:i/>
        </w:rPr>
      </w:pPr>
      <w:r>
        <w:rPr>
          <w:rFonts w:ascii="Segoe UI" w:hAnsi="Segoe UI" w:eastAsia="Segoe UI" w:cs="Segoe UI"/>
          <w:i/>
          <w:iCs/>
          <w:highlight w:val="none"/>
        </w:rPr>
        <w:t xml:space="preserve">«В соответствии с действующим законодательством правообладатели объектов недвижимости, на которых находятся пункты, обязаны уведомлять Управление обо всех случаях их повреждения или уничтожения, предоставлять возможность подъезда (подхода) к ним при выполнен</w:t>
      </w:r>
      <w:r>
        <w:rPr>
          <w:rFonts w:ascii="Segoe UI" w:hAnsi="Segoe UI" w:eastAsia="Segoe UI" w:cs="Segoe UI"/>
          <w:i/>
          <w:iCs/>
          <w:highlight w:val="none"/>
        </w:rPr>
        <w:t xml:space="preserve">ии геодезических и картографических работ, а также при проведении ремонта и восстановления пунктов.»</w:t>
      </w:r>
      <w:r>
        <w:rPr>
          <w:rFonts w:ascii="Segoe UI" w:hAnsi="Segoe UI" w:eastAsia="Segoe UI" w:cs="Segoe UI"/>
          <w:highlight w:val="none"/>
        </w:rPr>
        <w:t xml:space="preserve"> </w:t>
      </w:r>
      <w:r>
        <w:rPr>
          <w:rFonts w:ascii="Segoe UI" w:hAnsi="Segoe UI" w:eastAsia="Segoe UI" w:cs="Segoe UI"/>
          <w:i/>
          <w:iCs/>
          <w:highlight w:val="none"/>
        </w:rPr>
        <w:t xml:space="preserve">– обратила внимание Анна Николаева, г</w:t>
      </w:r>
      <w:r>
        <w:rPr>
          <w:rFonts w:ascii="Segoe UI" w:hAnsi="Segoe UI" w:eastAsia="Segoe UI" w:cs="Segoe UI"/>
          <w:i/>
          <w:iCs/>
          <w:highlight w:val="none"/>
        </w:rPr>
        <w:t xml:space="preserve">лавный специалист - эксперт</w:t>
      </w:r>
      <w:r>
        <w:rPr>
          <w:rFonts w:ascii="Segoe UI" w:hAnsi="Segoe UI" w:eastAsia="Segoe UI" w:cs="Segoe UI"/>
          <w:i/>
          <w:iCs/>
          <w:highlight w:val="none"/>
        </w:rPr>
        <w:t xml:space="preserve"> </w:t>
      </w:r>
      <w:r>
        <w:rPr>
          <w:rFonts w:ascii="Segoe UI" w:hAnsi="Segoe UI" w:eastAsia="Segoe UI" w:cs="Segoe UI"/>
          <w:i/>
          <w:iCs/>
          <w:highlight w:val="none"/>
        </w:rPr>
        <w:t xml:space="preserve">отдела государственного земельного надзора, геодезии и картографии, землеустройства и мониторинга земель, кадастровой оценки недвижимости и контроля (надзора) в сфере СРО</w:t>
      </w:r>
      <w:r>
        <w:rPr>
          <w:rFonts w:ascii="Segoe UI" w:hAnsi="Segoe UI" w:eastAsia="Segoe UI" w:cs="Segoe UI"/>
          <w:i/>
          <w:iCs/>
          <w:highlight w:val="none"/>
        </w:rPr>
      </w:r>
      <w:r>
        <w:rPr>
          <w:rFonts w:ascii="Segoe UI" w:hAnsi="Segoe UI" w:eastAsia="Segoe UI" w:cs="Segoe UI"/>
          <w:i/>
          <w:iCs/>
        </w:rPr>
      </w:r>
    </w:p>
    <w:p>
      <w:pPr>
        <w:ind w:left="0" w:right="0" w:firstLine="567"/>
        <w:jc w:val="both"/>
        <w:rPr>
          <w:rFonts w:ascii="Segoe UI" w:hAnsi="Segoe UI" w:cs="Segoe UI"/>
        </w:rPr>
      </w:pPr>
      <w:r>
        <w:rPr>
          <w:rFonts w:ascii="Segoe UI" w:hAnsi="Segoe UI" w:eastAsia="Segoe UI" w:cs="Segoe UI"/>
          <w:highlight w:val="none"/>
        </w:rPr>
        <w:t xml:space="preserve">Ответственность за повреждение и уничтожение геодезических пунктов предусмотрена ст.7.2 Кодекса Российской Федерации об административных правонарушениях. Размер штрафа за утрату пункта составляет для граждан от 5 тыс. до 10 тыс. руб., для должностных лиц – </w:t>
      </w:r>
      <w:r>
        <w:rPr>
          <w:rFonts w:ascii="Segoe UI" w:hAnsi="Segoe UI" w:eastAsia="Segoe UI" w:cs="Segoe UI"/>
          <w:highlight w:val="none"/>
        </w:rPr>
        <w:t xml:space="preserve">от 10 тыс. руб. до 50 тыс. руб., для юридических лиц – от 50 тыс. руб. до 200 тыс. руб. </w:t>
      </w:r>
      <w:r>
        <w:rPr>
          <w:rFonts w:ascii="Segoe UI" w:hAnsi="Segoe UI" w:eastAsia="Segoe UI" w:cs="Segoe UI"/>
          <w:highlight w:val="none"/>
        </w:rPr>
      </w:r>
      <w:r>
        <w:rPr>
          <w:rFonts w:ascii="Segoe UI" w:hAnsi="Segoe UI" w:eastAsia="Segoe UI" w:cs="Segoe UI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2024-08-29T22:56:50Z</dcterms:modified>
</cp:coreProperties>
</file>